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LV-C[C6]-I[6-3-1-3-i-] Development of the innovation ecosystem of public administration</w:t>
      </w:r>
    </w:p>
    <w:p w:rsidR="00DC6807" w:rsidRPr="00905B9C" w:rsidP="01BD11D8" w14:paraId="4C22E5B9" w14:textId="470FD0EC">
      <w:pPr>
        <w:jc w:val="right"/>
        <w:rPr>
          <w:b/>
          <w:bCs/>
          <w:highlight w:val="cyan"/>
          <w:lang w:val="fr-BE"/>
        </w:rPr>
      </w:pPr>
      <w:r w:rsidRPr="00905B9C" w:rsidR="005B3C6E">
        <w:rPr>
          <w:b/>
          <w:bCs/>
          <w:lang w:val="fr-BE"/>
        </w:rPr>
        <w:t>LV-C[C6]-I[6-3-1-3-i-]-M[205] Ensuring the financial sustainability of the Innovation Lab</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Q3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measure is to foster the innovation culture and increase the innovation output within public administration. The measure consists of both investment and reform elements. The reform consists of a) the adoption of a regulatory framework to support the development of the public sector innovation ecosystem and b) setting up and running of a public administration innovation lab. The reform shall be implemented by 30 June 2025. The investment consists of a) hiring of experts in innovation-relevant areas, b) setting up and equipping facilities for co-creating activities and c) piloting some of the innovations created in the innovation lab. The investment shall be implemented by 30 September 2025.</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205</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C6.6-3-1-3-i- Development of the innovation ecosystem of public administration</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Ensuring the financial sustainability of the Innovation Lab</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Entry into force of state budget law for 2026</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Q3</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The State Chancellery collects the data and is responsible for reporting.</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State budget financing for the operation of the innovation lab shall be ensured starting from 2026.</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milestone (including all the constitutive elements) was satisfactorily fulfilled, with appropriate links to the underlying evidence. This document shall include as an annex a copy of and a link to the publication of the relevant parts of the State budget law ensuring state budget financing for the operation of the innovation lab starting from 2026 with an accompanying document referring to the parts relevant for the fulfilment of the milestone in the Official Journal, including a reference to the provision indicating the entry into force.</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